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981F" w14:textId="77777777" w:rsidR="004D407A" w:rsidRDefault="004D407A" w:rsidP="0040408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Single-cell analysis of chromatin accessibility in adult mouse brain</w:t>
      </w:r>
      <w:r>
        <w:rPr>
          <w:rFonts w:ascii="Arial" w:eastAsia="Arial" w:hAnsi="Arial" w:cs="Arial"/>
        </w:rPr>
        <w:t xml:space="preserve"> </w:t>
      </w:r>
    </w:p>
    <w:p w14:paraId="26B24734" w14:textId="5A7A53AA" w:rsidR="0040408E" w:rsidRDefault="0040408E" w:rsidP="0040408E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Songpeng</w:t>
      </w:r>
      <w:proofErr w:type="spellEnd"/>
      <w:r>
        <w:rPr>
          <w:rFonts w:ascii="Arial" w:eastAsia="Arial" w:hAnsi="Arial" w:cs="Arial"/>
        </w:rPr>
        <w:t xml:space="preserve"> Zu</w:t>
      </w:r>
      <w:r>
        <w:rPr>
          <w:rFonts w:ascii="Arial" w:eastAsia="Arial" w:hAnsi="Arial" w:cs="Arial"/>
          <w:vertAlign w:val="superscript"/>
        </w:rPr>
        <w:t>1*</w:t>
      </w:r>
      <w:r>
        <w:rPr>
          <w:rFonts w:ascii="Arial" w:eastAsia="Arial" w:hAnsi="Arial" w:cs="Arial"/>
        </w:rPr>
        <w:t>, Yang Eric Li</w:t>
      </w:r>
      <w:r>
        <w:rPr>
          <w:rFonts w:ascii="Arial" w:eastAsia="Arial" w:hAnsi="Arial" w:cs="Arial"/>
          <w:vertAlign w:val="superscript"/>
        </w:rPr>
        <w:t>1*</w:t>
      </w:r>
      <w:r w:rsidRPr="001013FD">
        <w:rPr>
          <w:rFonts w:ascii="Arial" w:hAnsi="Arial"/>
          <w:vertAlign w:val="superscript"/>
        </w:rPr>
        <w:t>,</w:t>
      </w:r>
      <w:r>
        <w:rPr>
          <w:rFonts w:ascii="Arial" w:eastAsia="Arial" w:hAnsi="Arial" w:cs="Arial"/>
          <w:vertAlign w:val="superscript"/>
        </w:rPr>
        <w:t>9</w:t>
      </w:r>
      <w:r>
        <w:rPr>
          <w:rFonts w:ascii="Arial" w:eastAsia="Arial" w:hAnsi="Arial" w:cs="Arial"/>
        </w:rPr>
        <w:t>, Kangli Wang</w:t>
      </w:r>
      <w:r>
        <w:rPr>
          <w:rFonts w:ascii="Arial" w:eastAsia="Arial" w:hAnsi="Arial" w:cs="Arial"/>
          <w:vertAlign w:val="superscript"/>
        </w:rPr>
        <w:t>1*</w:t>
      </w:r>
      <w:r>
        <w:rPr>
          <w:rFonts w:ascii="Arial" w:eastAsia="Arial" w:hAnsi="Arial" w:cs="Arial"/>
        </w:rPr>
        <w:t>, Ethan Armand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>, Sainath Mamde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>, Maria Luisa Amaral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Yuelai</w:t>
      </w:r>
      <w:proofErr w:type="spellEnd"/>
      <w:r>
        <w:rPr>
          <w:rFonts w:ascii="Arial" w:eastAsia="Arial" w:hAnsi="Arial" w:cs="Arial"/>
        </w:rPr>
        <w:t xml:space="preserve"> Wang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>, Andre Chu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>, Yang Xie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>, Michael Miller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Jie</w:t>
      </w:r>
      <w:proofErr w:type="spellEnd"/>
      <w:r>
        <w:rPr>
          <w:rFonts w:ascii="Arial" w:eastAsia="Arial" w:hAnsi="Arial" w:cs="Arial"/>
        </w:rPr>
        <w:t xml:space="preserve"> Xu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Zhaoning</w:t>
      </w:r>
      <w:proofErr w:type="spellEnd"/>
      <w:r>
        <w:rPr>
          <w:rFonts w:ascii="Arial" w:eastAsia="Arial" w:hAnsi="Arial" w:cs="Arial"/>
        </w:rPr>
        <w:t xml:space="preserve"> Wang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>, Kai Zhang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Bojing</w:t>
      </w:r>
      <w:proofErr w:type="spellEnd"/>
      <w:r>
        <w:rPr>
          <w:rFonts w:ascii="Arial" w:eastAsia="Arial" w:hAnsi="Arial" w:cs="Arial"/>
        </w:rPr>
        <w:t xml:space="preserve"> Jia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Xiaomeng</w:t>
      </w:r>
      <w:proofErr w:type="spellEnd"/>
      <w:r>
        <w:rPr>
          <w:rFonts w:ascii="Arial" w:eastAsia="Arial" w:hAnsi="Arial" w:cs="Arial"/>
        </w:rPr>
        <w:t xml:space="preserve"> Hou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 xml:space="preserve">, </w:t>
      </w:r>
      <w:r w:rsidRPr="000C054C">
        <w:rPr>
          <w:rFonts w:ascii="Arial" w:eastAsia="Arial" w:hAnsi="Arial" w:cs="Arial"/>
        </w:rPr>
        <w:t>Lin Lin</w:t>
      </w:r>
      <w:r w:rsidRPr="000C054C">
        <w:rPr>
          <w:rFonts w:ascii="Arial" w:eastAsia="Arial" w:hAnsi="Arial" w:cs="Arial"/>
          <w:vertAlign w:val="superscript"/>
        </w:rPr>
        <w:t>2</w:t>
      </w:r>
      <w:r w:rsidRPr="000C054C">
        <w:rPr>
          <w:rFonts w:ascii="Arial" w:eastAsia="Arial" w:hAnsi="Arial" w:cs="Arial"/>
        </w:rPr>
        <w:t>, Qian Yang</w:t>
      </w:r>
      <w:r w:rsidRPr="000C054C">
        <w:rPr>
          <w:rFonts w:ascii="Arial" w:eastAsia="Arial" w:hAnsi="Arial" w:cs="Arial"/>
          <w:vertAlign w:val="superscript"/>
        </w:rPr>
        <w:t>2</w:t>
      </w:r>
      <w:r w:rsidRPr="000C054C">
        <w:rPr>
          <w:rFonts w:ascii="Arial" w:eastAsia="Arial" w:hAnsi="Arial" w:cs="Arial"/>
        </w:rPr>
        <w:t xml:space="preserve">, </w:t>
      </w:r>
      <w:proofErr w:type="spellStart"/>
      <w:r w:rsidRPr="000C054C">
        <w:rPr>
          <w:rFonts w:ascii="Arial" w:eastAsia="Arial" w:hAnsi="Arial" w:cs="Arial"/>
        </w:rPr>
        <w:t>Seoyeon</w:t>
      </w:r>
      <w:proofErr w:type="spellEnd"/>
      <w:r w:rsidRPr="000C054C">
        <w:rPr>
          <w:rFonts w:ascii="Arial" w:eastAsia="Arial" w:hAnsi="Arial" w:cs="Arial"/>
        </w:rPr>
        <w:t xml:space="preserve"> Lee</w:t>
      </w:r>
      <w:r w:rsidRPr="000C054C">
        <w:rPr>
          <w:rFonts w:ascii="Arial" w:eastAsia="Arial" w:hAnsi="Arial" w:cs="Arial"/>
          <w:vertAlign w:val="superscript"/>
        </w:rPr>
        <w:t>1</w:t>
      </w:r>
      <w:r w:rsidRPr="000C054C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Bin Li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>, Samantha Kuan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Hanqing</w:t>
      </w:r>
      <w:proofErr w:type="spellEnd"/>
      <w:r>
        <w:rPr>
          <w:rFonts w:ascii="Arial" w:eastAsia="Arial" w:hAnsi="Arial" w:cs="Arial"/>
        </w:rPr>
        <w:t xml:space="preserve"> Liu</w:t>
      </w:r>
      <w:r>
        <w:rPr>
          <w:rFonts w:ascii="Arial" w:eastAsia="Arial" w:hAnsi="Arial" w:cs="Arial"/>
          <w:vertAlign w:val="superscript"/>
        </w:rPr>
        <w:t>8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Jingtian</w:t>
      </w:r>
      <w:proofErr w:type="spellEnd"/>
      <w:r>
        <w:rPr>
          <w:rFonts w:ascii="Arial" w:eastAsia="Arial" w:hAnsi="Arial" w:cs="Arial"/>
        </w:rPr>
        <w:t xml:space="preserve"> Zhou</w:t>
      </w:r>
      <w:r>
        <w:rPr>
          <w:rFonts w:ascii="Arial" w:eastAsia="Arial" w:hAnsi="Arial" w:cs="Arial"/>
          <w:vertAlign w:val="superscript"/>
        </w:rPr>
        <w:t>8</w:t>
      </w:r>
      <w:r>
        <w:rPr>
          <w:rFonts w:ascii="Arial" w:eastAsia="Arial" w:hAnsi="Arial" w:cs="Arial"/>
        </w:rPr>
        <w:t>, Antonio Pinto-Duarte</w:t>
      </w:r>
      <w:r>
        <w:rPr>
          <w:rFonts w:ascii="Arial" w:eastAsia="Arial" w:hAnsi="Arial" w:cs="Arial"/>
          <w:vertAlign w:val="superscript"/>
        </w:rPr>
        <w:t>4</w:t>
      </w:r>
      <w:r>
        <w:rPr>
          <w:rFonts w:ascii="Arial" w:eastAsia="Arial" w:hAnsi="Arial" w:cs="Arial"/>
        </w:rPr>
        <w:t>, Jacinta Lucero</w:t>
      </w:r>
      <w:r>
        <w:rPr>
          <w:rFonts w:ascii="Arial" w:eastAsia="Arial" w:hAnsi="Arial" w:cs="Arial"/>
          <w:vertAlign w:val="superscript"/>
        </w:rPr>
        <w:t>4</w:t>
      </w:r>
      <w:r>
        <w:rPr>
          <w:rFonts w:ascii="Arial" w:eastAsia="Arial" w:hAnsi="Arial" w:cs="Arial"/>
        </w:rPr>
        <w:t>, Julia Osteen</w:t>
      </w:r>
      <w:r>
        <w:rPr>
          <w:rFonts w:ascii="Arial" w:eastAsia="Arial" w:hAnsi="Arial" w:cs="Arial"/>
          <w:vertAlign w:val="superscript"/>
        </w:rPr>
        <w:t>4</w:t>
      </w:r>
      <w:r>
        <w:rPr>
          <w:rFonts w:ascii="Arial" w:eastAsia="Arial" w:hAnsi="Arial" w:cs="Arial"/>
        </w:rPr>
        <w:t>, Michael Nunn</w:t>
      </w:r>
      <w:r>
        <w:rPr>
          <w:rFonts w:ascii="Arial" w:eastAsia="Arial" w:hAnsi="Arial" w:cs="Arial"/>
          <w:vertAlign w:val="superscript"/>
        </w:rPr>
        <w:t>3</w:t>
      </w:r>
      <w:r>
        <w:rPr>
          <w:rFonts w:ascii="Arial" w:eastAsia="Arial" w:hAnsi="Arial" w:cs="Arial"/>
        </w:rPr>
        <w:t>, Kimberly A. Smith</w:t>
      </w:r>
      <w:r>
        <w:rPr>
          <w:rFonts w:ascii="Arial" w:eastAsia="Arial" w:hAnsi="Arial" w:cs="Arial"/>
          <w:vertAlign w:val="superscript"/>
        </w:rPr>
        <w:t>5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Bosiljka</w:t>
      </w:r>
      <w:proofErr w:type="spellEnd"/>
      <w:r>
        <w:rPr>
          <w:rFonts w:ascii="Arial" w:eastAsia="Arial" w:hAnsi="Arial" w:cs="Arial"/>
        </w:rPr>
        <w:t xml:space="preserve"> Tasic</w:t>
      </w:r>
      <w:r>
        <w:rPr>
          <w:rFonts w:ascii="Arial" w:eastAsia="Arial" w:hAnsi="Arial" w:cs="Arial"/>
          <w:vertAlign w:val="superscript"/>
        </w:rPr>
        <w:t>5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Zizhen</w:t>
      </w:r>
      <w:proofErr w:type="spellEnd"/>
      <w:r>
        <w:rPr>
          <w:rFonts w:ascii="Arial" w:eastAsia="Arial" w:hAnsi="Arial" w:cs="Arial"/>
        </w:rPr>
        <w:t xml:space="preserve"> Yao</w:t>
      </w:r>
      <w:r>
        <w:rPr>
          <w:rFonts w:ascii="Arial" w:eastAsia="Arial" w:hAnsi="Arial" w:cs="Arial"/>
          <w:vertAlign w:val="superscript"/>
        </w:rPr>
        <w:t>5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Hongkui</w:t>
      </w:r>
      <w:proofErr w:type="spellEnd"/>
      <w:r>
        <w:rPr>
          <w:rFonts w:ascii="Arial" w:eastAsia="Arial" w:hAnsi="Arial" w:cs="Arial"/>
        </w:rPr>
        <w:t xml:space="preserve"> Zeng</w:t>
      </w:r>
      <w:r>
        <w:rPr>
          <w:rFonts w:ascii="Arial" w:eastAsia="Arial" w:hAnsi="Arial" w:cs="Arial"/>
          <w:vertAlign w:val="superscript"/>
        </w:rPr>
        <w:t>5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Zihan</w:t>
      </w:r>
      <w:proofErr w:type="spellEnd"/>
      <w:r>
        <w:rPr>
          <w:rFonts w:ascii="Arial" w:eastAsia="Arial" w:hAnsi="Arial" w:cs="Arial"/>
        </w:rPr>
        <w:t xml:space="preserve"> Wang</w:t>
      </w:r>
      <w:r>
        <w:rPr>
          <w:rFonts w:ascii="Arial" w:eastAsia="Arial" w:hAnsi="Arial" w:cs="Arial"/>
          <w:vertAlign w:val="superscript"/>
        </w:rPr>
        <w:t>6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Jingbo</w:t>
      </w:r>
      <w:proofErr w:type="spellEnd"/>
      <w:r>
        <w:rPr>
          <w:rFonts w:ascii="Arial" w:eastAsia="Arial" w:hAnsi="Arial" w:cs="Arial"/>
        </w:rPr>
        <w:t xml:space="preserve"> Shang</w:t>
      </w:r>
      <w:r>
        <w:rPr>
          <w:rFonts w:ascii="Arial" w:eastAsia="Arial" w:hAnsi="Arial" w:cs="Arial"/>
          <w:vertAlign w:val="superscript"/>
        </w:rPr>
        <w:t>6</w:t>
      </w:r>
      <w:r>
        <w:rPr>
          <w:rFonts w:ascii="Arial" w:eastAsia="Arial" w:hAnsi="Arial" w:cs="Arial"/>
        </w:rPr>
        <w:t>, M. Margarita Behrens</w:t>
      </w:r>
      <w:r>
        <w:rPr>
          <w:rFonts w:ascii="Arial" w:eastAsia="Arial" w:hAnsi="Arial" w:cs="Arial"/>
          <w:vertAlign w:val="superscript"/>
        </w:rPr>
        <w:t>4</w:t>
      </w:r>
      <w:r>
        <w:rPr>
          <w:rFonts w:ascii="Arial" w:eastAsia="Arial" w:hAnsi="Arial" w:cs="Arial"/>
        </w:rPr>
        <w:t>, Joseph R. Ecker</w:t>
      </w:r>
      <w:r>
        <w:rPr>
          <w:rFonts w:ascii="Arial" w:eastAsia="Arial" w:hAnsi="Arial" w:cs="Arial"/>
          <w:vertAlign w:val="superscript"/>
        </w:rPr>
        <w:t>3</w:t>
      </w:r>
      <w:r>
        <w:rPr>
          <w:rFonts w:ascii="Arial" w:eastAsia="Arial" w:hAnsi="Arial" w:cs="Arial"/>
        </w:rPr>
        <w:t>, Allen Wang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>, Sebastian Preissl</w:t>
      </w:r>
      <w:r>
        <w:rPr>
          <w:rFonts w:ascii="Arial" w:eastAsia="Arial" w:hAnsi="Arial" w:cs="Arial"/>
          <w:vertAlign w:val="superscript"/>
        </w:rPr>
        <w:t>2,7</w:t>
      </w:r>
      <w:r>
        <w:rPr>
          <w:rFonts w:ascii="Arial" w:eastAsia="Arial" w:hAnsi="Arial" w:cs="Arial"/>
        </w:rPr>
        <w:t>, Bing Ren</w:t>
      </w:r>
      <w:r>
        <w:rPr>
          <w:rFonts w:ascii="Arial" w:eastAsia="Arial" w:hAnsi="Arial" w:cs="Arial"/>
          <w:vertAlign w:val="superscript"/>
        </w:rPr>
        <w:t>1,2,@</w:t>
      </w:r>
    </w:p>
    <w:p w14:paraId="2062611F" w14:textId="77777777" w:rsidR="0040408E" w:rsidRDefault="0040408E" w:rsidP="0040408E">
      <w:pPr>
        <w:spacing w:line="360" w:lineRule="auto"/>
        <w:jc w:val="both"/>
        <w:rPr>
          <w:rFonts w:ascii="Arial" w:eastAsia="Arial" w:hAnsi="Arial" w:cs="Arial"/>
        </w:rPr>
      </w:pPr>
    </w:p>
    <w:p w14:paraId="7934A3D2" w14:textId="77777777" w:rsidR="0040408E" w:rsidRDefault="0040408E" w:rsidP="0040408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 Department of Cellular and Molecular Medicine, University of California San Diego, School of Medicine, La Jolla, CA, USA</w:t>
      </w:r>
    </w:p>
    <w:p w14:paraId="737DAD04" w14:textId="77777777" w:rsidR="0040408E" w:rsidRDefault="0040408E" w:rsidP="0040408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 xml:space="preserve"> Center for Epigenomics, University of California San Diego, School of Medicine, La Jolla, CA, USA</w:t>
      </w:r>
    </w:p>
    <w:p w14:paraId="37636AB7" w14:textId="77777777" w:rsidR="0040408E" w:rsidRDefault="0040408E" w:rsidP="0040408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3</w:t>
      </w:r>
      <w:r>
        <w:rPr>
          <w:rFonts w:ascii="Arial" w:eastAsia="Arial" w:hAnsi="Arial" w:cs="Arial"/>
        </w:rPr>
        <w:t xml:space="preserve"> Howard Hughes Medical Institute, The Salk Institute for Biological Studies, La Jolla, CA, USA</w:t>
      </w:r>
    </w:p>
    <w:p w14:paraId="7C01B67C" w14:textId="77777777" w:rsidR="0040408E" w:rsidRDefault="0040408E" w:rsidP="0040408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4</w:t>
      </w:r>
      <w:r>
        <w:rPr>
          <w:rFonts w:ascii="Arial" w:eastAsia="Arial" w:hAnsi="Arial" w:cs="Arial"/>
        </w:rPr>
        <w:t xml:space="preserve"> The Salk Institute for Biological Studies, La Jolla, CA, USA</w:t>
      </w:r>
    </w:p>
    <w:p w14:paraId="68C2A23D" w14:textId="77777777" w:rsidR="0040408E" w:rsidRDefault="0040408E" w:rsidP="0040408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5</w:t>
      </w:r>
      <w:r>
        <w:rPr>
          <w:rFonts w:ascii="Arial" w:eastAsia="Arial" w:hAnsi="Arial" w:cs="Arial"/>
        </w:rPr>
        <w:t xml:space="preserve"> Allen Institute for Brain Science, Seattle, WA 98109, USA</w:t>
      </w:r>
    </w:p>
    <w:p w14:paraId="0DD6ED48" w14:textId="77777777" w:rsidR="0040408E" w:rsidRDefault="0040408E" w:rsidP="0040408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6</w:t>
      </w:r>
      <w:r>
        <w:rPr>
          <w:rFonts w:ascii="Arial" w:eastAsia="Arial" w:hAnsi="Arial" w:cs="Arial"/>
        </w:rPr>
        <w:t xml:space="preserve"> Department of Computer Science and Engineering, University of California San Diego, La Jolla, CA, USA</w:t>
      </w:r>
    </w:p>
    <w:p w14:paraId="0959A4F2" w14:textId="77777777" w:rsidR="0040408E" w:rsidRDefault="0040408E" w:rsidP="0040408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7</w:t>
      </w:r>
      <w:r>
        <w:rPr>
          <w:rFonts w:ascii="Arial" w:eastAsia="Arial" w:hAnsi="Arial" w:cs="Arial"/>
        </w:rPr>
        <w:t xml:space="preserve"> Institute of Experimental and Clinical Pharmacology and Toxicology, Faculty of Medicine, University of Freiburg, Freiburg, Germany</w:t>
      </w:r>
    </w:p>
    <w:p w14:paraId="4F199DD2" w14:textId="77777777" w:rsidR="0040408E" w:rsidRDefault="0040408E" w:rsidP="0040408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8</w:t>
      </w:r>
      <w:r>
        <w:rPr>
          <w:rFonts w:ascii="Arial" w:eastAsia="Arial" w:hAnsi="Arial" w:cs="Arial"/>
        </w:rPr>
        <w:t xml:space="preserve"> Genomic Analysis Laboratory, The Salk Institute for Biological Studies, CA, USA</w:t>
      </w:r>
    </w:p>
    <w:p w14:paraId="24C86D30" w14:textId="77777777" w:rsidR="0040408E" w:rsidRDefault="0040408E" w:rsidP="0040408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9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D1C1D"/>
        </w:rPr>
        <w:t>Department of Neurosurgery and Genetics, Washington University School of Medicine, St. Louis, MO 63110, USA</w:t>
      </w:r>
    </w:p>
    <w:p w14:paraId="3811937E" w14:textId="77777777" w:rsidR="0040408E" w:rsidRDefault="0040408E" w:rsidP="0040408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These authors contributed equally</w:t>
      </w:r>
    </w:p>
    <w:p w14:paraId="15542670" w14:textId="77777777" w:rsidR="0040408E" w:rsidRDefault="0040408E" w:rsidP="0040408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@</w:t>
      </w:r>
      <w:r>
        <w:rPr>
          <w:rFonts w:ascii="Arial" w:eastAsia="Arial" w:hAnsi="Arial" w:cs="Arial"/>
        </w:rPr>
        <w:t xml:space="preserve"> Correspondence: biren@health.ucsd.edu </w:t>
      </w:r>
    </w:p>
    <w:p w14:paraId="58534C1C" w14:textId="77777777" w:rsidR="0040408E" w:rsidRDefault="0040408E" w:rsidP="0040408E">
      <w:pPr>
        <w:spacing w:line="360" w:lineRule="auto"/>
        <w:jc w:val="both"/>
        <w:rPr>
          <w:rFonts w:ascii="Arial" w:eastAsia="Arial" w:hAnsi="Arial" w:cs="Arial"/>
        </w:rPr>
      </w:pPr>
    </w:p>
    <w:p w14:paraId="63819F92" w14:textId="28F186A5" w:rsidR="00CF009E" w:rsidRDefault="00CF009E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br w:type="page"/>
      </w:r>
    </w:p>
    <w:p w14:paraId="18A5268C" w14:textId="77777777" w:rsidR="00CF009E" w:rsidRDefault="00CF009E" w:rsidP="00CF009E">
      <w:pPr>
        <w:jc w:val="both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lastRenderedPageBreak/>
        <w:t>Supplementary Tables</w:t>
      </w:r>
    </w:p>
    <w:p w14:paraId="672E9A9C" w14:textId="77777777" w:rsidR="00316197" w:rsidRPr="00CF009E" w:rsidRDefault="00316197" w:rsidP="00CF009E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C4998F" w14:textId="77777777" w:rsidR="00CF009E" w:rsidRPr="00CF009E" w:rsidRDefault="00CF009E" w:rsidP="00CF009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Supplementary Table 1</w:t>
      </w:r>
      <w:r w:rsidRPr="00CF009E">
        <w:rPr>
          <w:rFonts w:ascii="Arial" w:eastAsia="Times New Roman" w:hAnsi="Arial" w:cs="Arial"/>
          <w:color w:val="000000"/>
          <w:kern w:val="0"/>
          <w14:ligatures w14:val="none"/>
        </w:rPr>
        <w:t>: Sample and dissection summary</w:t>
      </w:r>
    </w:p>
    <w:p w14:paraId="1B43CE7B" w14:textId="77777777" w:rsidR="00CF009E" w:rsidRPr="00CF009E" w:rsidRDefault="00CF009E" w:rsidP="00CF009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Supplementary Table 2</w:t>
      </w:r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 xml:space="preserve">: Metadata table for all the 2.3 million nuclei in the </w:t>
      </w:r>
      <w:proofErr w:type="spellStart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snATAC</w:t>
      </w:r>
      <w:proofErr w:type="spellEnd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-seq data</w:t>
      </w:r>
    </w:p>
    <w:p w14:paraId="1354FBC2" w14:textId="77777777" w:rsidR="00CF009E" w:rsidRPr="00CF009E" w:rsidRDefault="00CF009E" w:rsidP="00CF009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Supplementary Table 3</w:t>
      </w:r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 xml:space="preserve">: Metadata table for clustering, including resolution parameters and full name of the annotations in Figure 1c </w:t>
      </w:r>
      <w:proofErr w:type="gramStart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UMAP</w:t>
      </w:r>
      <w:proofErr w:type="gramEnd"/>
    </w:p>
    <w:p w14:paraId="3E4B085C" w14:textId="77777777" w:rsidR="00CF009E" w:rsidRPr="00CF009E" w:rsidRDefault="00CF009E" w:rsidP="00CF009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Supplementary Table 4</w:t>
      </w:r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 xml:space="preserve">: L4-level annotation based on the integration analysis with </w:t>
      </w:r>
      <w:proofErr w:type="spellStart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scRNA</w:t>
      </w:r>
      <w:proofErr w:type="spellEnd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 xml:space="preserve">-seq data including major region </w:t>
      </w:r>
      <w:proofErr w:type="gramStart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information</w:t>
      </w:r>
      <w:proofErr w:type="gramEnd"/>
    </w:p>
    <w:p w14:paraId="5F8C84D1" w14:textId="77777777" w:rsidR="00CF009E" w:rsidRPr="00CF009E" w:rsidRDefault="00CF009E" w:rsidP="00CF009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Supplementary Table 5</w:t>
      </w:r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 xml:space="preserve">: Transfer label scores for the integration of the </w:t>
      </w:r>
      <w:proofErr w:type="spellStart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snATAC</w:t>
      </w:r>
      <w:proofErr w:type="spellEnd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 xml:space="preserve">-seq with the </w:t>
      </w:r>
      <w:proofErr w:type="spellStart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scRNA</w:t>
      </w:r>
      <w:proofErr w:type="spellEnd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-seq data. Both cluster and subclass level scores are presented</w:t>
      </w:r>
    </w:p>
    <w:p w14:paraId="2CD02623" w14:textId="77777777" w:rsidR="00CF009E" w:rsidRPr="00CF009E" w:rsidRDefault="00CF009E" w:rsidP="00CF009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Supplementary Table 6</w:t>
      </w:r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 xml:space="preserve">: Cell-subtype specific </w:t>
      </w:r>
      <w:proofErr w:type="spellStart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cCREs</w:t>
      </w:r>
      <w:proofErr w:type="spellEnd"/>
    </w:p>
    <w:p w14:paraId="4853C8E2" w14:textId="77777777" w:rsidR="00CF009E" w:rsidRPr="00CF009E" w:rsidRDefault="00CF009E" w:rsidP="00CF009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Supplementary Table 7</w:t>
      </w:r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 xml:space="preserve">: List of the genomic locations of all the </w:t>
      </w:r>
      <w:proofErr w:type="spellStart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cCREs</w:t>
      </w:r>
      <w:proofErr w:type="spellEnd"/>
    </w:p>
    <w:p w14:paraId="514E5A78" w14:textId="77777777" w:rsidR="00CF009E" w:rsidRPr="00CF009E" w:rsidRDefault="00CF009E" w:rsidP="00CF009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Supplementary Table 8</w:t>
      </w:r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 xml:space="preserve">: List of number of </w:t>
      </w:r>
      <w:proofErr w:type="spellStart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cCREs</w:t>
      </w:r>
      <w:proofErr w:type="spellEnd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 xml:space="preserve"> per cell subtype and cell subclass</w:t>
      </w:r>
    </w:p>
    <w:p w14:paraId="45F19BAA" w14:textId="77777777" w:rsidR="00CF009E" w:rsidRPr="00CF009E" w:rsidRDefault="00CF009E" w:rsidP="00CF009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Supplementary Table 9</w:t>
      </w:r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 xml:space="preserve">: List of </w:t>
      </w:r>
      <w:proofErr w:type="spellStart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cCREs</w:t>
      </w:r>
      <w:proofErr w:type="spellEnd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 xml:space="preserve"> having no overlaps with the ENCODE DHSs</w:t>
      </w:r>
    </w:p>
    <w:p w14:paraId="60ED9C14" w14:textId="77777777" w:rsidR="00CF009E" w:rsidRPr="00CF009E" w:rsidRDefault="00CF009E" w:rsidP="00CF009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Supplementary Table 10</w:t>
      </w:r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 xml:space="preserve">: Module assignments of all the </w:t>
      </w:r>
      <w:proofErr w:type="spellStart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cCREs</w:t>
      </w:r>
      <w:proofErr w:type="spellEnd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 xml:space="preserve"> in the non-negative matrix factorization </w:t>
      </w:r>
    </w:p>
    <w:p w14:paraId="16898482" w14:textId="77777777" w:rsidR="00CF009E" w:rsidRPr="00CF009E" w:rsidRDefault="00CF009E" w:rsidP="00CF009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Supplementary Table 11</w:t>
      </w:r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 xml:space="preserve">: Association of </w:t>
      </w:r>
      <w:r w:rsidRPr="00CF009E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cis</w:t>
      </w:r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 xml:space="preserve"> regulatory modules with cell subclasses</w:t>
      </w:r>
    </w:p>
    <w:p w14:paraId="34AD2F84" w14:textId="77777777" w:rsidR="00CF009E" w:rsidRPr="00CF009E" w:rsidRDefault="00CF009E" w:rsidP="00CF009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Supplementary Table 12</w:t>
      </w:r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 xml:space="preserve">: Summary of all the co-accessible </w:t>
      </w:r>
      <w:proofErr w:type="spellStart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cCRE</w:t>
      </w:r>
      <w:proofErr w:type="spellEnd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 xml:space="preserve"> pairs</w:t>
      </w:r>
    </w:p>
    <w:p w14:paraId="7304AEF2" w14:textId="77777777" w:rsidR="00CF009E" w:rsidRPr="00CF009E" w:rsidRDefault="00CF009E" w:rsidP="00CF009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Supplementary Table 13</w:t>
      </w:r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: Summary of all the gene-</w:t>
      </w:r>
      <w:proofErr w:type="spellStart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cCRE</w:t>
      </w:r>
      <w:proofErr w:type="spellEnd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 xml:space="preserve"> correlations</w:t>
      </w:r>
    </w:p>
    <w:p w14:paraId="15B86B82" w14:textId="77777777" w:rsidR="00CF009E" w:rsidRPr="00CF009E" w:rsidRDefault="00CF009E" w:rsidP="00CF009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Supplementary Table 14</w:t>
      </w:r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: Module assignment of the putative enhancers in the non-negative matrix factorization</w:t>
      </w:r>
    </w:p>
    <w:p w14:paraId="5F011BCA" w14:textId="77777777" w:rsidR="00CF009E" w:rsidRPr="00CF009E" w:rsidRDefault="00CF009E" w:rsidP="00CF009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Supplementary Table 15</w:t>
      </w:r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 xml:space="preserve">: Module assignment of the cell subclasses used in the putative enhancer module </w:t>
      </w:r>
      <w:proofErr w:type="gramStart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analysis</w:t>
      </w:r>
      <w:proofErr w:type="gramEnd"/>
    </w:p>
    <w:p w14:paraId="4893EBC0" w14:textId="77777777" w:rsidR="00CF009E" w:rsidRPr="00CF009E" w:rsidRDefault="00CF009E" w:rsidP="00CF009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Supplementary Table 16</w:t>
      </w:r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 xml:space="preserve">: Known motif enrichment in putative </w:t>
      </w:r>
      <w:proofErr w:type="gramStart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enhancers</w:t>
      </w:r>
      <w:proofErr w:type="gramEnd"/>
    </w:p>
    <w:p w14:paraId="6DC7F6A5" w14:textId="77777777" w:rsidR="00CF009E" w:rsidRPr="00CF009E" w:rsidRDefault="00CF009E" w:rsidP="00CF009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Supplementary Table 17</w:t>
      </w:r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: Summary of gene regulatory networks in all the cell subclasses</w:t>
      </w:r>
    </w:p>
    <w:p w14:paraId="2B4E063D" w14:textId="77777777" w:rsidR="00CF009E" w:rsidRPr="00CF009E" w:rsidRDefault="00CF009E" w:rsidP="00CF009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Supplementary Table 18</w:t>
      </w:r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: Counts of the network motifs in all the cell-subclass gene regulatory networks</w:t>
      </w:r>
    </w:p>
    <w:p w14:paraId="6B521405" w14:textId="77777777" w:rsidR="00CF009E" w:rsidRPr="00CF009E" w:rsidRDefault="00CF009E" w:rsidP="00CF009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Supplementary Table 19</w:t>
      </w:r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: Counts of the network motifs in the mouse brain regions</w:t>
      </w:r>
    </w:p>
    <w:p w14:paraId="46D6F70E" w14:textId="77777777" w:rsidR="00CF009E" w:rsidRPr="00CF009E" w:rsidRDefault="00CF009E" w:rsidP="00CF009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Supplementary Table 20</w:t>
      </w:r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: Region information of the cell subclasses for network motif analysis</w:t>
      </w:r>
    </w:p>
    <w:p w14:paraId="3FD0BBDD" w14:textId="77777777" w:rsidR="00CF009E" w:rsidRPr="00CF009E" w:rsidRDefault="00CF009E" w:rsidP="00CF009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Supplementary Table 21: </w:t>
      </w:r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 xml:space="preserve">The eigen-vector centrality scores for 403 transcription factors in each of the 267 cell subclasses based on their gene regulatory </w:t>
      </w:r>
      <w:proofErr w:type="gramStart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networks</w:t>
      </w:r>
      <w:proofErr w:type="gramEnd"/>
    </w:p>
    <w:p w14:paraId="051104A0" w14:textId="727ECEF6" w:rsidR="00CF009E" w:rsidRPr="00CF009E" w:rsidRDefault="00CF009E" w:rsidP="00CF009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Supplementary Table 22</w:t>
      </w:r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: GO analysis of the genes positively correlated with TE-</w:t>
      </w:r>
      <w:proofErr w:type="spellStart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cCREs</w:t>
      </w:r>
      <w:proofErr w:type="spellEnd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78EB0EF1" w14:textId="77777777" w:rsidR="00CF009E" w:rsidRPr="00CF009E" w:rsidRDefault="00CF009E" w:rsidP="00CF009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Supplementary Table 23</w:t>
      </w:r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 xml:space="preserve">: Differential chromatin accessibility of transposable-element related </w:t>
      </w:r>
      <w:proofErr w:type="spellStart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cCREs</w:t>
      </w:r>
      <w:proofErr w:type="spellEnd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 xml:space="preserve"> correlated with synaptic </w:t>
      </w:r>
      <w:proofErr w:type="gramStart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genes</w:t>
      </w:r>
      <w:proofErr w:type="gramEnd"/>
    </w:p>
    <w:p w14:paraId="6CA922D1" w14:textId="77777777" w:rsidR="00CF009E" w:rsidRPr="00CF009E" w:rsidRDefault="00CF009E" w:rsidP="00CF009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Supplementary Table 24</w:t>
      </w:r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 xml:space="preserve">: Motif enrichment of differentially accessible transposable-element related </w:t>
      </w:r>
      <w:proofErr w:type="spellStart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cCREs</w:t>
      </w:r>
      <w:proofErr w:type="spellEnd"/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54C741A1" w14:textId="2FA9A217" w:rsidR="00CF009E" w:rsidRDefault="00CF009E" w:rsidP="00CF009E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CF009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Supplementary Table 25</w:t>
      </w:r>
      <w:r w:rsidRPr="00CF009E">
        <w:rPr>
          <w:rFonts w:ascii="Arial" w:eastAsia="Times New Roman" w:hAnsi="Arial" w:cs="Arial"/>
          <w:color w:val="222222"/>
          <w:kern w:val="0"/>
          <w14:ligatures w14:val="none"/>
        </w:rPr>
        <w:t>: Deep learning model performance on cell types.</w:t>
      </w:r>
    </w:p>
    <w:p w14:paraId="5EE7824E" w14:textId="77777777" w:rsidR="00CF009E" w:rsidRPr="00CF009E" w:rsidRDefault="00CF009E" w:rsidP="00CF009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CDD335" w14:textId="77777777" w:rsidR="000A4B7B" w:rsidRDefault="000A4B7B"/>
    <w:sectPr w:rsidR="000A4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B9"/>
    <w:rsid w:val="000A4B7B"/>
    <w:rsid w:val="00105EAA"/>
    <w:rsid w:val="001E29BB"/>
    <w:rsid w:val="00221A76"/>
    <w:rsid w:val="0022209C"/>
    <w:rsid w:val="00316197"/>
    <w:rsid w:val="0040408E"/>
    <w:rsid w:val="004D407A"/>
    <w:rsid w:val="005E7F58"/>
    <w:rsid w:val="00642F78"/>
    <w:rsid w:val="00694D8E"/>
    <w:rsid w:val="006F3958"/>
    <w:rsid w:val="007A63CA"/>
    <w:rsid w:val="007F569D"/>
    <w:rsid w:val="008631F8"/>
    <w:rsid w:val="008B69C8"/>
    <w:rsid w:val="008D1174"/>
    <w:rsid w:val="00A31C8E"/>
    <w:rsid w:val="00B13FA3"/>
    <w:rsid w:val="00BD292B"/>
    <w:rsid w:val="00C726A0"/>
    <w:rsid w:val="00C93964"/>
    <w:rsid w:val="00CF009E"/>
    <w:rsid w:val="00D84FD2"/>
    <w:rsid w:val="00DD72B9"/>
    <w:rsid w:val="00DF64FA"/>
    <w:rsid w:val="00E37C87"/>
    <w:rsid w:val="00E53644"/>
    <w:rsid w:val="00EE61C4"/>
    <w:rsid w:val="00FD0426"/>
    <w:rsid w:val="00FD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6AA08"/>
  <w15:chartTrackingRefBased/>
  <w15:docId w15:val="{41DE6BD7-DA0D-354D-BBEA-164C2B20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09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Kangli Wang</dc:creator>
  <cp:keywords/>
  <dc:description/>
  <cp:lastModifiedBy>Bing Ren</cp:lastModifiedBy>
  <cp:revision>2</cp:revision>
  <dcterms:created xsi:type="dcterms:W3CDTF">2023-11-01T17:38:00Z</dcterms:created>
  <dcterms:modified xsi:type="dcterms:W3CDTF">2023-11-01T17:38:00Z</dcterms:modified>
</cp:coreProperties>
</file>